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28"/>
          <w:szCs w:val="28"/>
        </w:rPr>
      </w:pPr>
      <w:r w:rsidDel="00000000" w:rsidR="00000000" w:rsidRPr="00000000">
        <w:rPr>
          <w:b w:val="1"/>
          <w:sz w:val="28"/>
          <w:szCs w:val="28"/>
          <w:rtl w:val="0"/>
        </w:rPr>
        <w:t xml:space="preserve">SİNPAŞ 50. Yıl Mimari Fikir Projesi Yarışması “Geleceğin için Tasarla” Jüri Raporu</w:t>
      </w:r>
    </w:p>
    <w:p w:rsidR="00000000" w:rsidDel="00000000" w:rsidP="00000000" w:rsidRDefault="00000000" w:rsidRPr="00000000" w14:paraId="00000002">
      <w:pPr>
        <w:ind w:left="0" w:firstLine="0"/>
        <w:rPr>
          <w:sz w:val="20"/>
          <w:szCs w:val="20"/>
        </w:rPr>
      </w:pPr>
      <w:r w:rsidDel="00000000" w:rsidR="00000000" w:rsidRPr="00000000">
        <w:rPr>
          <w:rtl w:val="0"/>
        </w:rPr>
      </w:r>
    </w:p>
    <w:p w:rsidR="00000000" w:rsidDel="00000000" w:rsidP="00000000" w:rsidRDefault="00000000" w:rsidRPr="00000000" w14:paraId="00000003">
      <w:pPr>
        <w:ind w:left="0" w:firstLine="0"/>
        <w:rPr>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SİNPAŞ tarafından “Geleceğin için Tasarla” teması altında düzenlenen 50. Yıl Mimari Fikir Projesi Yarışması’nın jüri toplantısı 2 Aralık 2024 tarihinde SİNPAŞ’ın Balmumcu’daki genel merkezinde yapılmıştır.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Süveyda Bayraktar Atagür, Serhat Başdoğan, Eser Ergün, Mehpare Evrenol ve Ramadan Kumova’nın katılımıyla yapılan jüri toplantısında tüm gün boyunca toplam 41 proje değerlendirilmiştir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Yapılan değerlendirmede şartnamede belirtilen aşağıdaki özelliklere dikkat edilmiştir: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İçinde bulunduğumuz zamanın, kentin sorunlarının tespit edilmesi, tespit edilen sorunlara yönelik çözüm önerilerinin getirilmesi,</w:t>
      </w:r>
    </w:p>
    <w:p w:rsidR="00000000" w:rsidDel="00000000" w:rsidP="00000000" w:rsidRDefault="00000000" w:rsidRPr="00000000" w14:paraId="0000000B">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Kavramsal olarak barınma ihtiyacını ele alması,</w:t>
      </w:r>
    </w:p>
    <w:p w:rsidR="00000000" w:rsidDel="00000000" w:rsidP="00000000" w:rsidRDefault="00000000" w:rsidRPr="00000000" w14:paraId="0000000C">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Tasarlanan yapılarda planlamanın esnek kullanımlara açık olması,</w:t>
      </w:r>
    </w:p>
    <w:p w:rsidR="00000000" w:rsidDel="00000000" w:rsidP="00000000" w:rsidRDefault="00000000" w:rsidRPr="00000000" w14:paraId="0000000D">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Tasarlanan yapılarda sakinlerin yaşam kalitesinin artırılması,</w:t>
      </w:r>
    </w:p>
    <w:p w:rsidR="00000000" w:rsidDel="00000000" w:rsidP="00000000" w:rsidRDefault="00000000" w:rsidRPr="00000000" w14:paraId="0000000E">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Farklı ihtiyaç ve yeteneklere sahip insanlar için kapsayıcı ve erişilebilir olması,</w:t>
      </w:r>
    </w:p>
    <w:p w:rsidR="00000000" w:rsidDel="00000000" w:rsidP="00000000" w:rsidRDefault="00000000" w:rsidRPr="00000000" w14:paraId="0000000F">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Başta deprem olmak üzere doğal afetlere karşı dirençli olması,</w:t>
      </w:r>
    </w:p>
    <w:p w:rsidR="00000000" w:rsidDel="00000000" w:rsidP="00000000" w:rsidRDefault="00000000" w:rsidRPr="00000000" w14:paraId="00000010">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Küresel iklim değişikliğinin yarattığı dezavantajlı durumu insanlığın lehine çevirebilecek çözüm önerileri sunması,</w:t>
      </w:r>
    </w:p>
    <w:p w:rsidR="00000000" w:rsidDel="00000000" w:rsidP="00000000" w:rsidRDefault="00000000" w:rsidRPr="00000000" w14:paraId="00000011">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İnsanın doğayla bağ kurabilmesine imkân verecek çözümler sunması, ekolojik, sürdürülebilir ve kendi kendine yetebilen yapılar tasarlanması,</w:t>
      </w:r>
    </w:p>
    <w:p w:rsidR="00000000" w:rsidDel="00000000" w:rsidP="00000000" w:rsidRDefault="00000000" w:rsidRPr="00000000" w14:paraId="00000012">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Hızlı üretilebilir, ekonomik ve optimum çözümler sunması. Maliyet, süre ve kalite arasında iyi bir denge sağlaması.</w:t>
      </w:r>
    </w:p>
    <w:p w:rsidR="00000000" w:rsidDel="00000000" w:rsidP="00000000" w:rsidRDefault="00000000" w:rsidRPr="00000000" w14:paraId="00000013">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Gelecekte kullanılabilecek ekolojik ve sürdürülebilir malzeme önerileri getirmesi, bu malzemelerin aynı zamanda kolay üretilebilir ve ekonomik olması,</w:t>
      </w:r>
    </w:p>
    <w:p w:rsidR="00000000" w:rsidDel="00000000" w:rsidP="00000000" w:rsidRDefault="00000000" w:rsidRPr="00000000" w14:paraId="00000014">
      <w:pPr>
        <w:numPr>
          <w:ilvl w:val="0"/>
          <w:numId w:val="1"/>
        </w:numPr>
        <w:shd w:fill="ffffff" w:val="clear"/>
        <w:spacing w:after="0" w:afterAutospacing="0" w:lineRule="auto"/>
        <w:ind w:left="720" w:hanging="360"/>
        <w:rPr>
          <w:color w:val="212529"/>
        </w:rPr>
      </w:pPr>
      <w:r w:rsidDel="00000000" w:rsidR="00000000" w:rsidRPr="00000000">
        <w:rPr>
          <w:color w:val="212529"/>
          <w:rtl w:val="0"/>
        </w:rPr>
        <w:t xml:space="preserve">Pasif ısıtma/soğutma, yenilenebilir enerji kaynakları veya akıllı ev teknolojisi gibi enerji verimli çözümler içermesi,</w:t>
      </w:r>
    </w:p>
    <w:p w:rsidR="00000000" w:rsidDel="00000000" w:rsidP="00000000" w:rsidRDefault="00000000" w:rsidRPr="00000000" w14:paraId="00000015">
      <w:pPr>
        <w:numPr>
          <w:ilvl w:val="0"/>
          <w:numId w:val="1"/>
        </w:numPr>
        <w:shd w:fill="ffffff" w:val="clear"/>
        <w:spacing w:after="240" w:lineRule="auto"/>
        <w:ind w:left="720" w:hanging="360"/>
        <w:rPr>
          <w:color w:val="212529"/>
        </w:rPr>
      </w:pPr>
      <w:r w:rsidDel="00000000" w:rsidR="00000000" w:rsidRPr="00000000">
        <w:rPr>
          <w:color w:val="212529"/>
          <w:rtl w:val="0"/>
        </w:rPr>
        <w:t xml:space="preserve">Atık azaltma, geri dönüşüm ve diğer sürdürülebilir uygulamalar yoluyla karbon ayak izi açısından öneriler sunması.</w:t>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1. Tur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Yapılan ilk tur değerlendirmede 1 jüri üyesinin bile “bir sonraki tura devam edebilir” dediği 20  proje üst tura alınmıştır. Yapılan değerlendirmeler sonucunda aşağıdaki kod numarasına sahip toplam 20 proje istenen özellikleri sağlayamadıkları gerekçesi ile elenmiştir.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1GT5N, 2NF1N, 5NEBF, 6FK26, 6YUP6, 8TF6G, B7BRB, B7BX4, C53KK, E728U, K837D, NDG22, P48PY, PD5WV, UWUYR, VPYM6, WGJ8W, Y15YG, YJFTM, YJT5P, YP4JR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XTFM8 kod numarasına sahip projenin paftasında kimlik bilgileri yer aldığı için diskalifiye edilmiştir.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6DHG9, 6Y1RC, CRBT7, DPP2N, NPKE4, 1M9YM, 9KBV6, 32D7H, 55JBU, 4PUY2, KDV1A, P6VVU, UT1U5, 5A6GW, A5115, 5C9RE, 6ACXK, AEVBB, WBA42, XCMWV kod numarasına sahip projeler 2. tura geçmiştir.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2. Tur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Jüri toplantısının 2. turunda 20 proje değerlendirilmiş, oy çokluğu yöntemi ile 3 ve üzerinde oy alan tasarımlar bir sonraki tura geçirilmiştir. Bu aşamada elenen projelerin ortak görülen eksikliklerin topoğrafya uyum problemleri, vaziyet planı çözümü konusunda eksiklikler, ulaşım ve sirkülasyon şemasının çözülmemesi olarak görüşmüştür. Bu sebeple 9KBV6, 32D7H, 55JBU, 1M9YM, 6DHG9, 6Y1RC, CRBT7, DPP2N, NPKE4 kod numarasında sahip 9 proje elenmiştir.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6ACXK, AEVBB, WBA42, XCMWV, 5C9RE, 5A6GW, A5115, 4PUY2, KDV1A, P6VVU, UT1U5 kod numarasına sahip projeler 3. tura geçmiştir.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3. Tur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 turda yapılan detaylı değerlendirmeler sonucunda ödül grubuna kalacak projeler belirlenmiştir.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5C9RE, 5A6GW, A5115, 4PUY2, KDV1A, P6VVU, UT1U5 kodlu projeler bu turda elenmiştir.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Ödül Grubu</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6ACXK kodlu projeye Satınalma Ödülü verilmiştir.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Vaziyet planı, ulaşım ve sirkülasyon şeması eksik bulunmuş, projenin mimari dil arayışı olumlu değerlendirilmiştir.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WBA42 kodlu projeye 3.’lük ödülü verilmiştir.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Projenin eğime çok fazla oturması, dolayısıyla ortaya çıkan yokuşlu yollar olumsuz bulunmuş, baştan sona tutarlı tavrı, ortaya koymaya çalıştığı eleştirel yaklaşımı olumlu bulunmuştur.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XCMWV kodlu projeye 2.’lük ödülü verilmiştir.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Otopark çözümü, sosyal donatıları yeterli bulunmamış, bunun dışında vaziyet planı yerleşimi, araziyi kullanması, metrekareyi iyi değerlendirmesi, ulaşım şeması iyi çözülmüş olması olumlu bulunmuştur.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AEVBB kodlu projeye 1.’lük ödülü verilmiştir.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t xml:space="preserve">Özgünlüğü, vaziyet planının, ulaşım ve sirkülasyon şemasının iyi çözülmüş olması, farklı tipolojileri kullanarak tekrarın kırması, özgün cephe anlayışı jüri üyeleri tarafından olumlu bulunmuştur.</w:t>
      </w: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